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ThirdParty_Risk_Manageme_1773402455562" w:id="1"/>
      <w:r>
        <w:rPr>
          <w:b w:val="false"/>
          <w:bCs w:val="false"/>
          <w:i w:val="false"/>
          <w:iCs w:val="false"/>
          <w:color w:val="000000"/>
          <w:sz w:val="32"/>
          <w:szCs w:val="32"/>
          <w:rtl w:val="false"/>
        </w:rPr>
        <w:t xml:space="preserve">Synthetic Users Third-Party Risk Management Policy</w:t>
      </w:r>
      <w:bookmarkEnd w:id="1"/>
    </w:p>
    <w:p>
      <w:pPr>
        <w:pStyle w:val="1"/>
        <w:pStyle w:val="Heading1"/>
        <w:bidi w:val="false"/>
        <w:spacing w:before="480" w:after="120"/>
      </w:pPr>
      <w:bookmarkStart w:name="_Toc_Version_10_1773402455563" w:id="1"/>
      <w:r>
        <w:rPr>
          <w:b/>
          <w:bCs/>
          <w:i w:val="false"/>
          <w:iCs w:val="false"/>
          <w:color w:val="000000"/>
          <w:sz w:val="32"/>
          <w:szCs w:val="32"/>
          <w:rtl w:val="false"/>
        </w:rPr>
        <w:t xml:space="preserve">Version:</w:t>
      </w:r>
      <w:r>
        <w:rPr>
          <w:b w:val="false"/>
          <w:bCs w:val="false"/>
          <w:i w:val="false"/>
          <w:iCs w:val="false"/>
          <w:color w:val="000000"/>
          <w:sz w:val="32"/>
          <w:szCs w:val="32"/>
          <w:rtl w:val="false"/>
        </w:rPr>
        <w:t xml:space="preserve"> 1.0</w:t>
      </w:r>
      <w:bookmarkEnd w:id="1"/>
    </w:p>
    <w:p>
      <w:pPr>
        <w:bidi w:val="false"/>
        <w:spacing w:before="240" w:after="240" w:line="276"/>
        <w:jc w:val="left"/>
      </w:pPr>
      <w:r>
        <w:rPr>
          <w:b/>
          <w:bCs/>
          <w:i w:val="false"/>
          <w:iCs w:val="false"/>
          <w:color w:val="000000"/>
          <w:sz w:val="24"/>
          <w:szCs w:val="24"/>
          <w:rtl w:val="false"/>
        </w:rPr>
        <w:t xml:space="preserve">Effective Date:</w:t>
      </w:r>
      <w:r>
        <w:rPr>
          <w:b w:val="false"/>
          <w:bCs w:val="false"/>
          <w:i w:val="false"/>
          <w:iCs w:val="false"/>
          <w:color w:val="000000"/>
          <w:sz w:val="24"/>
          <w:szCs w:val="24"/>
          <w:rtl w:val="false"/>
        </w:rPr>
        <w:t xml:space="preserve"> 7 January 2025</w:t>
      </w:r>
    </w:p>
    <w:p>
      <w:pPr>
        <w:bidi w:val="false"/>
        <w:spacing w:before="240" w:after="240" w:line="276"/>
        <w:jc w:val="left"/>
      </w:pPr>
      <w:r>
        <w:rPr>
          <w:b/>
          <w:bCs/>
          <w:i w:val="false"/>
          <w:iCs w:val="false"/>
          <w:color w:val="000000"/>
          <w:sz w:val="24"/>
          <w:szCs w:val="24"/>
          <w:rtl w:val="false"/>
        </w:rPr>
        <w:t xml:space="preserve">Owner:</w:t>
      </w:r>
      <w:r>
        <w:rPr>
          <w:b w:val="false"/>
          <w:bCs w:val="false"/>
          <w:i w:val="false"/>
          <w:iCs w:val="false"/>
          <w:color w:val="000000"/>
          <w:sz w:val="24"/>
          <w:szCs w:val="24"/>
          <w:rtl w:val="false"/>
        </w:rPr>
        <w:t xml:space="preserve"> Security &amp; Compliance Lead</w:t>
      </w:r>
    </w:p>
    <w:p>
      <w:pPr>
        <w:bidi w:val="false"/>
        <w:spacing w:before="240" w:after="240" w:line="276"/>
        <w:jc w:val="left"/>
      </w:pPr>
      <w:r>
        <w:rPr>
          <w:b/>
          <w:bCs/>
          <w:i w:val="false"/>
          <w:iCs w:val="false"/>
          <w:color w:val="000000"/>
          <w:sz w:val="24"/>
          <w:szCs w:val="24"/>
          <w:rtl w:val="false"/>
        </w:rPr>
        <w:t xml:space="preserve">Approved By:</w:t>
      </w:r>
      <w:r>
        <w:rPr>
          <w:b w:val="false"/>
          <w:bCs w:val="false"/>
          <w:i w:val="false"/>
          <w:iCs w:val="false"/>
          <w:color w:val="000000"/>
          <w:sz w:val="24"/>
          <w:szCs w:val="24"/>
          <w:rtl w:val="false"/>
        </w:rPr>
        <w:t xml:space="preserve"> CEO</w:t>
      </w:r>
    </w:p>
    <w:p>
      <w:pPr>
        <w:pStyle w:val="2"/>
        <w:pStyle w:val="Heading2"/>
        <w:bidi w:val="false"/>
        <w:spacing w:before="240" w:after="120"/>
      </w:pPr>
      <w:bookmarkStart w:name="_Toc__1_Purpose_1773402455563" w:id="1"/>
      <w:r>
        <w:rPr>
          <w:b/>
          <w:bCs/>
          <w:i w:val="false"/>
          <w:iCs w:val="false"/>
          <w:color w:val="000000"/>
          <w:sz w:val="28"/>
          <w:szCs w:val="28"/>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The purpose of this policy is to ensure that all third parties and vendors engaged by Synthetic Users maintain security, privacy, and compliance standards consistent with our internal controls and regulatory obligations. This policy defines how Synthetic Users assesses, monitors, and manages third-party risks throughout the vendor lifecycle.</w:t>
      </w:r>
    </w:p>
    <w:p>
      <w:pPr>
        <w:pStyle w:val="2"/>
        <w:pStyle w:val="Heading2"/>
        <w:bidi w:val="false"/>
        <w:spacing w:before="240" w:after="120"/>
      </w:pPr>
      <w:bookmarkStart w:name="_Toc__2_Scope_1773402455563" w:id="1"/>
      <w:r>
        <w:rPr>
          <w:b/>
          <w:bCs/>
          <w:i w:val="false"/>
          <w:iCs w:val="false"/>
          <w:color w:val="000000"/>
          <w:sz w:val="28"/>
          <w:szCs w:val="28"/>
          <w:rtl w:val="false"/>
        </w:rPr>
        <w:t xml:space="preserve">2. Scope</w:t>
      </w:r>
      <w:bookmarkEnd w:id="1"/>
    </w:p>
    <w:p>
      <w:pPr>
        <w:bidi w:val="false"/>
        <w:spacing w:before="240" w:after="240" w:line="276"/>
        <w:jc w:val="left"/>
      </w:pPr>
      <w:r>
        <w:rPr>
          <w:b w:val="false"/>
          <w:bCs w:val="false"/>
          <w:i w:val="false"/>
          <w:iCs w:val="false"/>
          <w:color w:val="000000"/>
          <w:sz w:val="24"/>
          <w:szCs w:val="24"/>
          <w:rtl w:val="false"/>
        </w:rPr>
        <w:t xml:space="preserve">This policy applies to all third parties that store, process, or access Synthetic Users’ company data, customer data, or production systems. It includes service providers, SaaS vendors, infrastructure platforms, consultants, and open-source dependencies used within Synthetic Users’ environment.</w:t>
      </w:r>
    </w:p>
    <w:p>
      <w:pPr>
        <w:pStyle w:val="2"/>
        <w:pStyle w:val="Heading2"/>
        <w:bidi w:val="false"/>
        <w:spacing w:before="240" w:after="120"/>
      </w:pPr>
      <w:bookmarkStart w:name="_Toc__3_Objectives_1773402455563" w:id="1"/>
      <w:r>
        <w:rPr>
          <w:b/>
          <w:bCs/>
          <w:i w:val="false"/>
          <w:iCs w:val="false"/>
          <w:color w:val="000000"/>
          <w:sz w:val="28"/>
          <w:szCs w:val="28"/>
          <w:rtl w:val="false"/>
        </w:rPr>
        <w:t xml:space="preserve">3. Objectives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Identify and mitigate risks associated with third-party relationships.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Ensure vendors comply with </w:t>
      </w:r>
      <w:r>
        <w:rPr>
          <w:b/>
          <w:bCs/>
          <w:i w:val="false"/>
          <w:iCs w:val="false"/>
          <w:color w:val="000000"/>
          <w:sz w:val="24"/>
          <w:szCs w:val="24"/>
          <w:rtl w:val="false"/>
        </w:rPr>
        <w:t xml:space="preserve">SOC 2</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GDPR</w:t>
      </w:r>
      <w:r>
        <w:rPr>
          <w:b w:val="false"/>
          <w:bCs w:val="false"/>
          <w:i w:val="false"/>
          <w:iCs w:val="false"/>
          <w:color w:val="000000"/>
          <w:sz w:val="24"/>
          <w:szCs w:val="24"/>
          <w:rtl w:val="false"/>
        </w:rPr>
        <w:t xml:space="preserve">, and other relevant standards.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Maintain accountability and visibility across the vendor ecosystem.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Enforce contractual and technical safeguards for data protection.</w:t>
      </w:r>
    </w:p>
    <w:p>
      <w:pPr>
        <w:pStyle w:val="2"/>
        <w:pStyle w:val="Heading2"/>
        <w:bidi w:val="false"/>
        <w:spacing w:before="240" w:after="120"/>
      </w:pPr>
      <w:bookmarkStart w:name="_Toc__4_Roles_and_Responsibilities_1773402455563" w:id="1"/>
      <w:r>
        <w:rPr>
          <w:b/>
          <w:bCs/>
          <w:i w:val="false"/>
          <w:iCs w:val="false"/>
          <w:color w:val="000000"/>
          <w:sz w:val="28"/>
          <w:szCs w:val="28"/>
          <w:rtl w:val="false"/>
        </w:rPr>
        <w:t xml:space="preserve">4. Roles and Responsibilities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tblGrid>
      <w:tr>
        <w:trPr>
          <w:tblHeader/>
        </w:trPr>
        <w:tc>
          <w:tcPr>
            <w:shd w:fill="F2F2F2"/>
          </w:tcPr>
          <w:p>
            <w:pPr>
              <w:pStyle w:val="Strong"/>
              <w:jc w:val="left"/>
            </w:pPr>
            <w:r>
              <w:rPr>
                <w:b/>
                <w:bCs/>
                <w:color w:val="000000"/>
              </w:rPr>
              <w:t xml:space="preserve">Role</w:t>
            </w:r>
          </w:p>
        </w:tc>
        <w:tc>
          <w:tcPr>
            <w:shd w:fill="F2F2F2"/>
          </w:tcPr>
          <w:p>
            <w:pPr>
              <w:pStyle w:val="Strong"/>
              <w:jc w:val="left"/>
            </w:pPr>
            <w:r>
              <w:rPr>
                <w:b/>
                <w:bCs/>
                <w:color w:val="000000"/>
              </w:rPr>
              <w:t xml:space="preserve">Responsibility</w:t>
            </w:r>
          </w:p>
        </w:tc>
      </w:tr>
      <w:tr>
        <w:tc>
          <w:p>
            <w:pPr>
              <w:jc w:val="left"/>
            </w:pPr>
            <w:r>
              <w:rPr>
                <w:color w:val="000000"/>
                <w:rtl w:val="false"/>
              </w:rPr>
              <w:t xml:space="preserve"/>
            </w:r>
          </w:p>
        </w:tc>
        <w:tc>
          <w:p>
            <w:pPr>
              <w:jc w:val="left"/>
            </w:pPr>
            <w:r>
              <w:rPr>
                <w:color w:val="000000"/>
                <w:rtl w:val="false"/>
              </w:rPr>
              <w:t xml:space="preserve">Oversees vendor risk assessments, manages vendor register, ensures ongoing compliance.</w:t>
            </w:r>
          </w:p>
        </w:tc>
      </w:tr>
      <w:tr>
        <w:tc>
          <w:p>
            <w:pPr>
              <w:jc w:val="left"/>
            </w:pPr>
            <w:r>
              <w:rPr>
                <w:color w:val="000000"/>
                <w:rtl w:val="false"/>
              </w:rPr>
              <w:t xml:space="preserve"/>
            </w:r>
          </w:p>
        </w:tc>
        <w:tc>
          <w:p>
            <w:pPr>
              <w:jc w:val="left"/>
            </w:pPr>
            <w:r>
              <w:rPr>
                <w:color w:val="000000"/>
                <w:rtl w:val="false"/>
              </w:rPr>
              <w:t xml:space="preserve">Ensures contractual clauses (DPA, confidentiality) are included before engagement.</w:t>
            </w:r>
          </w:p>
        </w:tc>
      </w:tr>
      <w:tr>
        <w:tc>
          <w:p>
            <w:pPr>
              <w:jc w:val="left"/>
            </w:pPr>
            <w:r>
              <w:rPr>
                <w:color w:val="000000"/>
                <w:rtl w:val="false"/>
              </w:rPr>
              <w:t xml:space="preserve"/>
            </w:r>
          </w:p>
        </w:tc>
        <w:tc>
          <w:p>
            <w:pPr>
              <w:jc w:val="left"/>
            </w:pPr>
            <w:r>
              <w:rPr>
                <w:color w:val="000000"/>
                <w:rtl w:val="false"/>
              </w:rPr>
              <w:t xml:space="preserve">Identify and review technical dependencies (SaaS tools, APIs, SDKs).</w:t>
            </w:r>
          </w:p>
        </w:tc>
      </w:tr>
      <w:tr>
        <w:tc>
          <w:p>
            <w:pPr>
              <w:jc w:val="left"/>
            </w:pPr>
            <w:r>
              <w:rPr>
                <w:color w:val="000000"/>
                <w:rtl w:val="false"/>
              </w:rPr>
              <w:t xml:space="preserve"/>
            </w:r>
          </w:p>
        </w:tc>
        <w:tc>
          <w:p>
            <w:pPr>
              <w:jc w:val="left"/>
            </w:pPr>
            <w:r>
              <w:rPr>
                <w:color w:val="000000"/>
                <w:rtl w:val="false"/>
              </w:rPr>
              <w:t xml:space="preserve">Approves onboarding of critical or high-risk vendors.</w:t>
            </w:r>
          </w:p>
        </w:tc>
      </w:tr>
    </w:tbl>
    <w:p>
      <w:pPr>
        <w:pStyle w:val="2"/>
        <w:pStyle w:val="Heading2"/>
        <w:bidi w:val="false"/>
        <w:spacing w:before="240" w:after="120"/>
      </w:pPr>
      <w:bookmarkStart w:name="_Toc__5_Vendor_Risk_Management_Lifecycle_1773402455563" w:id="1"/>
      <w:r>
        <w:rPr>
          <w:b/>
          <w:bCs/>
          <w:i w:val="false"/>
          <w:iCs w:val="false"/>
          <w:color w:val="000000"/>
          <w:sz w:val="28"/>
          <w:szCs w:val="28"/>
          <w:rtl w:val="false"/>
        </w:rPr>
        <w:t xml:space="preserve">5. Vendor Risk Management Lifecycle</w:t>
      </w:r>
      <w:bookmarkEnd w:id="1"/>
    </w:p>
    <w:p>
      <w:pPr>
        <w:pStyle w:val="3"/>
        <w:pStyle w:val="Heading3"/>
        <w:bidi w:val="false"/>
        <w:spacing w:before="240" w:after="120"/>
      </w:pPr>
      <w:bookmarkStart w:name="_Toc__51_Identification_1773402455563" w:id="1"/>
      <w:r>
        <w:rPr>
          <w:b/>
          <w:bCs/>
          <w:i w:val="false"/>
          <w:iCs w:val="false"/>
          <w:color w:val="000000"/>
          <w:sz w:val="24"/>
          <w:szCs w:val="24"/>
          <w:rtl w:val="false"/>
        </w:rPr>
        <w:t xml:space="preserve">5.1 Identification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All new third-party engagements must be reported to the Security &amp; Compliance Lead before contract signing or data exchange.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Vendors are categorized by risk level (Low, Medium, High) based on data sensitivity and business criticality.</w:t>
      </w:r>
    </w:p>
    <w:p>
      <w:pPr>
        <w:pStyle w:val="3"/>
        <w:pStyle w:val="Heading3"/>
        <w:bidi w:val="false"/>
        <w:spacing w:before="240" w:after="120"/>
      </w:pPr>
      <w:bookmarkStart w:name="_Toc__52_Due_Diligence_and_Assessment_1773402455563" w:id="1"/>
      <w:r>
        <w:rPr>
          <w:b/>
          <w:bCs/>
          <w:i w:val="false"/>
          <w:iCs w:val="false"/>
          <w:color w:val="000000"/>
          <w:sz w:val="24"/>
          <w:szCs w:val="24"/>
          <w:rtl w:val="false"/>
        </w:rPr>
        <w:t xml:space="preserve">5.2 Due Diligence and Assessment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Third-Party Risk Assessment (TPRA)</w:t>
      </w:r>
      <w:r>
        <w:rPr>
          <w:b w:val="false"/>
          <w:bCs w:val="false"/>
          <w:i w:val="false"/>
          <w:iCs w:val="false"/>
          <w:color w:val="000000"/>
          <w:sz w:val="24"/>
          <w:szCs w:val="24"/>
          <w:rtl w:val="false"/>
        </w:rPr>
        <w:t xml:space="preserve"> is conducted prior to onboarding.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Assessment includes: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of SOC 2, ISO 27001, or equivalent certifications.</w:t>
      </w:r>
    </w:p>
    <w:p>
      <w:pPr>
        <w:pStyle w:val="ListParagraph"/>
        <w:numPr>
          <w:ilvl w:val="1"/>
          <w:numId w:val="1"/>
        </w:numPr>
        <w:bidi w:val="false"/>
        <w:spacing w:before="120" w:after="120"/>
      </w:pPr>
      <w:r>
        <w:rPr>
          <w:b w:val="false"/>
          <w:bCs w:val="false"/>
          <w:i w:val="false"/>
          <w:iCs w:val="false"/>
          <w:color w:val="000000"/>
          <w:sz w:val="24"/>
          <w:szCs w:val="24"/>
          <w:rtl w:val="false"/>
        </w:rPr>
        <w:t xml:space="preserve">Verification of encryption, access control, and data protection measures.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Evaluation of incident response and breach notification procedures.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of subcontractor and data residency arrangements.</w:t>
      </w:r>
    </w:p>
    <w:p>
      <w:pPr>
        <w:pStyle w:val="3"/>
        <w:pStyle w:val="Heading3"/>
        <w:bidi w:val="false"/>
        <w:spacing w:before="240" w:after="120"/>
      </w:pPr>
      <w:bookmarkStart w:name="_Toc__53_Contractual_Requirements_1773402455563" w:id="1"/>
      <w:r>
        <w:rPr>
          <w:b/>
          <w:bCs/>
          <w:i w:val="false"/>
          <w:iCs w:val="false"/>
          <w:color w:val="000000"/>
          <w:sz w:val="24"/>
          <w:szCs w:val="24"/>
          <w:rtl w:val="false"/>
        </w:rPr>
        <w:t xml:space="preserve">5.3 Contractual Requirements</w:t>
      </w:r>
      <w:bookmarkEnd w:id="1"/>
    </w:p>
    <w:p>
      <w:pPr>
        <w:bidi w:val="false"/>
        <w:spacing w:before="240" w:after="240" w:line="276"/>
        <w:jc w:val="left"/>
      </w:pPr>
      <w:r>
        <w:rPr>
          <w:b w:val="false"/>
          <w:bCs w:val="false"/>
          <w:i w:val="false"/>
          <w:iCs w:val="false"/>
          <w:color w:val="000000"/>
          <w:sz w:val="24"/>
          <w:szCs w:val="24"/>
          <w:rtl w:val="false"/>
        </w:rPr>
        <w:t xml:space="preserve">All vendor contracts must include: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Data Processing Agreement (DPA)</w:t>
      </w:r>
      <w:r>
        <w:rPr>
          <w:b w:val="false"/>
          <w:bCs w:val="false"/>
          <w:i w:val="false"/>
          <w:iCs w:val="false"/>
          <w:color w:val="000000"/>
          <w:sz w:val="24"/>
          <w:szCs w:val="24"/>
          <w:rtl w:val="false"/>
        </w:rPr>
        <w:t xml:space="preserve"> where personal data is involved.</w:t>
      </w:r>
    </w:p>
    <w:p>
      <w:pPr>
        <w:pStyle w:val="ListParagraph"/>
        <w:numPr>
          <w:ilvl w:val="0"/>
          <w:numId w:val="1"/>
        </w:numPr>
        <w:bidi w:val="false"/>
        <w:spacing w:before="120" w:after="120"/>
      </w:pPr>
      <w:r>
        <w:rPr>
          <w:b/>
          <w:bCs/>
          <w:i w:val="false"/>
          <w:iCs w:val="false"/>
          <w:color w:val="000000"/>
          <w:sz w:val="24"/>
          <w:szCs w:val="24"/>
          <w:rtl w:val="false"/>
        </w:rPr>
        <w:t xml:space="preserve">Confidentiality and non-disclosure</w:t>
      </w:r>
      <w:r>
        <w:rPr>
          <w:b w:val="false"/>
          <w:bCs w:val="false"/>
          <w:i w:val="false"/>
          <w:iCs w:val="false"/>
          <w:color w:val="000000"/>
          <w:sz w:val="24"/>
          <w:szCs w:val="24"/>
          <w:rtl w:val="false"/>
        </w:rPr>
        <w:t xml:space="preserve"> clauses.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Clear obligations for data protection, breach notification, and deletion upon termination.</w:t>
      </w:r>
    </w:p>
    <w:p>
      <w:pPr>
        <w:pStyle w:val="ListParagraph"/>
        <w:numPr>
          <w:ilvl w:val="0"/>
          <w:numId w:val="1"/>
        </w:numPr>
        <w:bidi w:val="false"/>
        <w:spacing w:before="120" w:after="120"/>
      </w:pPr>
      <w:r>
        <w:rPr>
          <w:b/>
          <w:bCs/>
          <w:i w:val="false"/>
          <w:iCs w:val="false"/>
          <w:color w:val="000000"/>
          <w:sz w:val="24"/>
          <w:szCs w:val="24"/>
          <w:rtl w:val="false"/>
        </w:rPr>
        <w:t xml:space="preserve">Right to audit</w:t>
      </w:r>
      <w:r>
        <w:rPr>
          <w:b w:val="false"/>
          <w:bCs w:val="false"/>
          <w:i w:val="false"/>
          <w:iCs w:val="false"/>
          <w:color w:val="000000"/>
          <w:sz w:val="24"/>
          <w:szCs w:val="24"/>
          <w:rtl w:val="false"/>
        </w:rPr>
        <w:t xml:space="preserve"> or require attestation reports (e.g., SOC 2 Type II).</w:t>
      </w:r>
    </w:p>
    <w:p>
      <w:pPr>
        <w:pStyle w:val="3"/>
        <w:pStyle w:val="Heading3"/>
        <w:bidi w:val="false"/>
        <w:spacing w:before="240" w:after="120"/>
      </w:pPr>
      <w:bookmarkStart w:name="_Toc__54_Ongoing_Monitoring_1773402455563" w:id="1"/>
      <w:r>
        <w:rPr>
          <w:b/>
          <w:bCs/>
          <w:i w:val="false"/>
          <w:iCs w:val="false"/>
          <w:color w:val="000000"/>
          <w:sz w:val="24"/>
          <w:szCs w:val="24"/>
          <w:rtl w:val="false"/>
        </w:rPr>
        <w:t xml:space="preserve">5.4 Ongoing Monitoring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High-risk vendors are reviewed </w:t>
      </w:r>
      <w:r>
        <w:rPr>
          <w:b/>
          <w:bCs/>
          <w:i w:val="false"/>
          <w:iCs w:val="false"/>
          <w:color w:val="000000"/>
          <w:sz w:val="24"/>
          <w:szCs w:val="24"/>
          <w:rtl w:val="false"/>
        </w:rPr>
        <w:t xml:space="preserve">annually</w:t>
      </w:r>
      <w:r>
        <w:rPr>
          <w:b w:val="false"/>
          <w:bCs w:val="false"/>
          <w:i w:val="false"/>
          <w:iCs w:val="false"/>
          <w:color w:val="000000"/>
          <w:sz w:val="24"/>
          <w:szCs w:val="24"/>
          <w:rtl w:val="false"/>
        </w:rPr>
        <w:t xml:space="preserve"> or after significant infrastructure or ownership changes.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Continuous monitoring of dependencies through automated tools (e.g., </w:t>
      </w:r>
      <w:r>
        <w:rPr>
          <w:b/>
          <w:bCs/>
          <w:i w:val="false"/>
          <w:iCs w:val="false"/>
          <w:color w:val="000000"/>
          <w:sz w:val="24"/>
          <w:szCs w:val="24"/>
          <w:rtl w:val="false"/>
        </w:rPr>
        <w:t xml:space="preserve">Dependabot</w:t>
      </w:r>
      <w:r>
        <w:rPr>
          <w:b w:val="false"/>
          <w:bCs w:val="false"/>
          <w:i w:val="false"/>
          <w:iCs w:val="false"/>
          <w:color w:val="000000"/>
          <w:sz w:val="24"/>
          <w:szCs w:val="24"/>
          <w:rtl w:val="false"/>
        </w:rPr>
        <w:t xml:space="preserve"> for open-source packages).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Incident notifications from vendors are tracked and reviewed to assess downstream impact.</w:t>
      </w:r>
    </w:p>
    <w:p>
      <w:pPr>
        <w:pStyle w:val="3"/>
        <w:pStyle w:val="Heading3"/>
        <w:bidi w:val="false"/>
        <w:spacing w:before="240" w:after="120"/>
      </w:pPr>
      <w:bookmarkStart w:name="_Toc__55_Offboarding_1773402455564" w:id="1"/>
      <w:r>
        <w:rPr>
          <w:b/>
          <w:bCs/>
          <w:i w:val="false"/>
          <w:iCs w:val="false"/>
          <w:color w:val="000000"/>
          <w:sz w:val="24"/>
          <w:szCs w:val="24"/>
          <w:rtl w:val="false"/>
        </w:rPr>
        <w:t xml:space="preserve">5.5 Offboarding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Upon termination, Synthetic Users ensures: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All customer and company data is deleted or returned securely.</w:t>
      </w:r>
    </w:p>
    <w:p>
      <w:pPr>
        <w:pStyle w:val="ListParagraph"/>
        <w:numPr>
          <w:ilvl w:val="1"/>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Certificate of Data Destruction</w:t>
      </w:r>
      <w:r>
        <w:rPr>
          <w:b w:val="false"/>
          <w:bCs w:val="false"/>
          <w:i w:val="false"/>
          <w:iCs w:val="false"/>
          <w:color w:val="000000"/>
          <w:sz w:val="24"/>
          <w:szCs w:val="24"/>
          <w:rtl w:val="false"/>
        </w:rPr>
        <w:t xml:space="preserve"> or written confirmation is obtained when possible.</w:t>
      </w:r>
    </w:p>
    <w:p>
      <w:pPr>
        <w:pStyle w:val="ListParagraph"/>
        <w:numPr>
          <w:ilvl w:val="1"/>
          <w:numId w:val="1"/>
        </w:numPr>
        <w:bidi w:val="false"/>
        <w:spacing w:before="120" w:after="120"/>
      </w:pPr>
      <w:r>
        <w:rPr>
          <w:b w:val="false"/>
          <w:bCs w:val="false"/>
          <w:i w:val="false"/>
          <w:iCs w:val="false"/>
          <w:color w:val="000000"/>
          <w:sz w:val="24"/>
          <w:szCs w:val="24"/>
          <w:rtl w:val="false"/>
        </w:rPr>
        <w:t xml:space="preserve">System credentials and access are immediately revoked.</w:t>
      </w:r>
    </w:p>
    <w:p>
      <w:pPr>
        <w:pStyle w:val="2"/>
        <w:pStyle w:val="Heading2"/>
        <w:bidi w:val="false"/>
        <w:spacing w:before="240" w:after="120"/>
      </w:pPr>
      <w:bookmarkStart w:name="_Toc__6_Risk_Categorization_Framework_1773402455564" w:id="1"/>
      <w:r>
        <w:rPr>
          <w:b/>
          <w:bCs/>
          <w:i w:val="false"/>
          <w:iCs w:val="false"/>
          <w:color w:val="000000"/>
          <w:sz w:val="28"/>
          <w:szCs w:val="28"/>
          <w:rtl w:val="false"/>
        </w:rPr>
        <w:t xml:space="preserve">6. Risk Categorization Framework</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Risk Level</w:t>
            </w:r>
          </w:p>
        </w:tc>
        <w:tc>
          <w:tcPr>
            <w:shd w:fill="F2F2F2"/>
          </w:tcPr>
          <w:p>
            <w:pPr>
              <w:pStyle w:val="Strong"/>
              <w:jc w:val="left"/>
            </w:pPr>
            <w:r>
              <w:rPr>
                <w:b/>
                <w:bCs/>
                <w:color w:val="000000"/>
              </w:rPr>
              <w:t xml:space="preserve">Description</w:t>
            </w:r>
          </w:p>
        </w:tc>
        <w:tc>
          <w:tcPr>
            <w:shd w:fill="F2F2F2"/>
          </w:tcPr>
          <w:p>
            <w:pPr>
              <w:pStyle w:val="Strong"/>
              <w:jc w:val="left"/>
            </w:pPr>
            <w:r>
              <w:rPr>
                <w:b/>
                <w:bCs/>
                <w:color w:val="000000"/>
              </w:rPr>
              <w:t xml:space="preserve">Examples</w:t>
            </w:r>
          </w:p>
        </w:tc>
      </w:tr>
      <w:tr>
        <w:tc>
          <w:p>
            <w:pPr>
              <w:jc w:val="left"/>
            </w:pPr>
            <w:r>
              <w:rPr>
                <w:color w:val="000000"/>
                <w:rtl w:val="false"/>
              </w:rPr>
              <w:t xml:space="preserve"/>
            </w:r>
          </w:p>
        </w:tc>
        <w:tc>
          <w:p>
            <w:pPr>
              <w:jc w:val="left"/>
            </w:pPr>
            <w:r>
              <w:rPr>
                <w:color w:val="000000"/>
                <w:rtl w:val="false"/>
              </w:rPr>
              <w:t xml:space="preserve">Vendor stores or processes customer data or production systems</w:t>
            </w:r>
          </w:p>
        </w:tc>
        <w:tc>
          <w:p>
            <w:pPr>
              <w:jc w:val="left"/>
            </w:pPr>
            <w:r>
              <w:rPr>
                <w:color w:val="000000"/>
                <w:rtl w:val="false"/>
              </w:rPr>
              <w:t xml:space="preserve">AWS, Render, OpenAI</w:t>
            </w:r>
          </w:p>
        </w:tc>
      </w:tr>
      <w:tr>
        <w:tc>
          <w:p>
            <w:pPr>
              <w:jc w:val="left"/>
            </w:pPr>
            <w:r>
              <w:rPr>
                <w:color w:val="000000"/>
                <w:rtl w:val="false"/>
              </w:rPr>
              <w:t xml:space="preserve"/>
            </w:r>
          </w:p>
        </w:tc>
        <w:tc>
          <w:p>
            <w:pPr>
              <w:jc w:val="left"/>
            </w:pPr>
            <w:r>
              <w:rPr>
                <w:color w:val="000000"/>
                <w:rtl w:val="false"/>
              </w:rPr>
              <w:t xml:space="preserve">Vendor processes internal business data but not production data</w:t>
            </w:r>
          </w:p>
        </w:tc>
        <w:tc>
          <w:p>
            <w:pPr>
              <w:jc w:val="left"/>
            </w:pPr>
            <w:r>
              <w:rPr>
                <w:color w:val="000000"/>
                <w:rtl w:val="false"/>
              </w:rPr>
              <w:t xml:space="preserve">Intercom, Notion, Stripe</w:t>
            </w:r>
          </w:p>
        </w:tc>
      </w:tr>
      <w:tr>
        <w:tc>
          <w:p>
            <w:pPr>
              <w:jc w:val="left"/>
            </w:pPr>
            <w:r>
              <w:rPr>
                <w:color w:val="000000"/>
                <w:rtl w:val="false"/>
              </w:rPr>
              <w:t xml:space="preserve"/>
            </w:r>
          </w:p>
        </w:tc>
        <w:tc>
          <w:p>
            <w:pPr>
              <w:jc w:val="left"/>
            </w:pPr>
            <w:r>
              <w:rPr>
                <w:color w:val="000000"/>
                <w:rtl w:val="false"/>
              </w:rPr>
              <w:t xml:space="preserve">Vendor provides non-critical services with no access to sensitive data</w:t>
            </w:r>
          </w:p>
        </w:tc>
        <w:tc>
          <w:p>
            <w:pPr>
              <w:jc w:val="left"/>
            </w:pPr>
            <w:r>
              <w:rPr>
                <w:color w:val="000000"/>
                <w:rtl w:val="false"/>
              </w:rPr>
              <w:t xml:space="preserve">Marketing or analytics tools</w:t>
            </w:r>
          </w:p>
        </w:tc>
      </w:tr>
    </w:tbl>
    <w:p>
      <w:pPr>
        <w:bidi w:val="false"/>
        <w:spacing w:before="240" w:after="240" w:line="276"/>
        <w:jc w:val="left"/>
      </w:pPr>
      <w:r>
        <w:rPr>
          <w:b w:val="false"/>
          <w:bCs w:val="false"/>
          <w:i w:val="false"/>
          <w:iCs w:val="false"/>
          <w:color w:val="000000"/>
          <w:sz w:val="24"/>
          <w:szCs w:val="24"/>
          <w:rtl w:val="false"/>
        </w:rPr>
        <w:t xml:space="preserve">Each category determines review frequency, approval level, and contractual requirements.</w:t>
      </w:r>
    </w:p>
    <w:p>
      <w:pPr>
        <w:pStyle w:val="2"/>
        <w:pStyle w:val="Heading2"/>
        <w:bidi w:val="false"/>
        <w:spacing w:before="240" w:after="120"/>
      </w:pPr>
      <w:bookmarkStart w:name="_Toc__7_Reporting_and_Escalation_1773402455564" w:id="1"/>
      <w:r>
        <w:rPr>
          <w:b/>
          <w:bCs/>
          <w:i w:val="false"/>
          <w:iCs w:val="false"/>
          <w:color w:val="000000"/>
          <w:sz w:val="28"/>
          <w:szCs w:val="28"/>
          <w:rtl w:val="false"/>
        </w:rPr>
        <w:t xml:space="preserve">7. Reporting and Escalation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Any vendor-related incident or suspected breach must be reported immediately to the </w:t>
      </w:r>
      <w:r>
        <w:rPr>
          <w:b/>
          <w:bCs/>
          <w:i w:val="false"/>
          <w:iCs w:val="false"/>
          <w:color w:val="000000"/>
          <w:sz w:val="24"/>
          <w:szCs w:val="24"/>
          <w:rtl w:val="false"/>
        </w:rPr>
        <w:t xml:space="preserve">Security &amp; Compliance Lead</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If customer data is affected, the </w:t>
      </w:r>
      <w:r>
        <w:rPr>
          <w:b/>
          <w:bCs/>
          <w:i w:val="false"/>
          <w:iCs w:val="false"/>
          <w:color w:val="000000"/>
          <w:sz w:val="24"/>
          <w:szCs w:val="24"/>
          <w:rtl w:val="false"/>
        </w:rPr>
        <w:t xml:space="preserve">Incident Response Plan</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Notification Protocol</w:t>
      </w:r>
      <w:r>
        <w:rPr>
          <w:b w:val="false"/>
          <w:bCs w:val="false"/>
          <w:i w:val="false"/>
          <w:iCs w:val="false"/>
          <w:color w:val="000000"/>
          <w:sz w:val="24"/>
          <w:szCs w:val="24"/>
          <w:rtl w:val="false"/>
        </w:rPr>
        <w:t xml:space="preserve"> are triggered.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Major vendor risks are reported to the </w:t>
      </w:r>
      <w:r>
        <w:rPr>
          <w:b/>
          <w:bCs/>
          <w:i w:val="false"/>
          <w:iCs w:val="false"/>
          <w:color w:val="000000"/>
          <w:sz w:val="24"/>
          <w:szCs w:val="24"/>
          <w:rtl w:val="false"/>
        </w:rPr>
        <w:t xml:space="preserve">Executive Team</w:t>
      </w:r>
      <w:r>
        <w:rPr>
          <w:b w:val="false"/>
          <w:bCs w:val="false"/>
          <w:i w:val="false"/>
          <w:iCs w:val="false"/>
          <w:color w:val="000000"/>
          <w:sz w:val="24"/>
          <w:szCs w:val="24"/>
          <w:rtl w:val="false"/>
        </w:rPr>
        <w:t xml:space="preserve"> during quarterly security reviews.</w:t>
      </w:r>
    </w:p>
    <w:p>
      <w:pPr>
        <w:pStyle w:val="2"/>
        <w:pStyle w:val="Heading2"/>
        <w:bidi w:val="false"/>
        <w:spacing w:before="240" w:after="120"/>
      </w:pPr>
      <w:bookmarkStart w:name="_Toc__8_Policy_Review_and_Maintenance_1773402455564" w:id="1"/>
      <w:r>
        <w:rPr>
          <w:b/>
          <w:bCs/>
          <w:i w:val="false"/>
          <w:iCs w:val="false"/>
          <w:color w:val="000000"/>
          <w:sz w:val="28"/>
          <w:szCs w:val="28"/>
          <w:rtl w:val="false"/>
        </w:rPr>
        <w:t xml:space="preserve">8. Policy Review and Maintenance</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This policy shall be reviewed </w:t>
      </w:r>
      <w:r>
        <w:rPr>
          <w:b/>
          <w:bCs/>
          <w:i w:val="false"/>
          <w:iCs w:val="false"/>
          <w:color w:val="000000"/>
          <w:sz w:val="24"/>
          <w:szCs w:val="24"/>
          <w:rtl w:val="false"/>
        </w:rPr>
        <w:t xml:space="preserve">annually</w:t>
      </w:r>
      <w:r>
        <w:rPr>
          <w:b w:val="false"/>
          <w:bCs w:val="false"/>
          <w:i w:val="false"/>
          <w:iCs w:val="false"/>
          <w:color w:val="000000"/>
          <w:sz w:val="24"/>
          <w:szCs w:val="24"/>
          <w:rtl w:val="false"/>
        </w:rPr>
        <w:t xml:space="preserve"> or following any major vendor onboarding, breach, or regulatory update.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Updates require approval from the CTO and Security &amp; Compliance Lead.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 latest version is stored in the company’s internal Security Repository.</w:t>
      </w:r>
    </w:p>
    <w:p>
      <w:pPr>
        <w:pStyle w:val="2"/>
        <w:pStyle w:val="Heading2"/>
        <w:bidi w:val="false"/>
        <w:spacing w:before="240" w:after="120"/>
      </w:pPr>
      <w:bookmarkStart w:name="_Toc__9_References_1773402455564" w:id="1"/>
      <w:r>
        <w:rPr>
          <w:b/>
          <w:bCs/>
          <w:i w:val="false"/>
          <w:iCs w:val="false"/>
          <w:color w:val="000000"/>
          <w:sz w:val="28"/>
          <w:szCs w:val="28"/>
          <w:rtl w:val="false"/>
        </w:rPr>
        <w:t xml:space="preserve">9. References</w:t>
      </w:r>
      <w:bookmarkEnd w:id="1"/>
    </w:p>
    <w:p>
      <w:pPr>
        <w:pStyle w:val="ListParagraph"/>
        <w:numPr>
          <w:ilvl w:val="0"/>
          <w:numId w:val="1"/>
        </w:numPr>
        <w:bidi w:val="false"/>
        <w:spacing w:before="120" w:after="120"/>
      </w:pPr>
      <w:r>
        <w:rPr>
          <w:b/>
          <w:bCs/>
          <w:i w:val="false"/>
          <w:iCs w:val="false"/>
          <w:color w:val="000000"/>
          <w:sz w:val="24"/>
          <w:szCs w:val="24"/>
          <w:rtl w:val="false"/>
        </w:rPr>
        <w:t xml:space="preserve">Access Control Policy</w:t>
      </w:r>
    </w:p>
    <w:p>
      <w:pPr>
        <w:pStyle w:val="ListParagraph"/>
        <w:numPr>
          <w:ilvl w:val="0"/>
          <w:numId w:val="1"/>
        </w:numPr>
        <w:bidi w:val="false"/>
        <w:spacing w:before="120" w:after="120"/>
      </w:pPr>
      <w:r>
        <w:rPr>
          <w:b/>
          <w:bCs/>
          <w:i w:val="false"/>
          <w:iCs w:val="false"/>
          <w:color w:val="000000"/>
          <w:sz w:val="24"/>
          <w:szCs w:val="24"/>
          <w:rtl w:val="false"/>
        </w:rPr>
        <w:t xml:space="preserve">Encryption Policy</w:t>
      </w:r>
    </w:p>
    <w:p>
      <w:pPr>
        <w:pStyle w:val="ListParagraph"/>
        <w:numPr>
          <w:ilvl w:val="0"/>
          <w:numId w:val="1"/>
        </w:numPr>
        <w:bidi w:val="false"/>
        <w:spacing w:before="120" w:after="120"/>
      </w:pPr>
      <w:r>
        <w:rPr>
          <w:b/>
          <w:bCs/>
          <w:i w:val="false"/>
          <w:iCs w:val="false"/>
          <w:color w:val="000000"/>
          <w:sz w:val="24"/>
          <w:szCs w:val="24"/>
          <w:rtl w:val="false"/>
        </w:rPr>
        <w:t xml:space="preserve">Incident Response Plan</w:t>
      </w:r>
    </w:p>
    <w:p>
      <w:pPr>
        <w:pStyle w:val="ListParagraph"/>
        <w:numPr>
          <w:ilvl w:val="0"/>
          <w:numId w:val="1"/>
        </w:numPr>
        <w:bidi w:val="false"/>
        <w:spacing w:before="120" w:after="120"/>
      </w:pPr>
      <w:r>
        <w:rPr>
          <w:b/>
          <w:bCs/>
          <w:i w:val="false"/>
          <w:iCs w:val="false"/>
          <w:color w:val="000000"/>
          <w:sz w:val="24"/>
          <w:szCs w:val="24"/>
          <w:rtl w:val="false"/>
        </w:rPr>
        <w:t xml:space="preserve">Data Protection and Privacy Policy</w:t>
      </w:r>
    </w:p>
    <w:p>
      <w:pPr>
        <w:pStyle w:val="ListParagraph"/>
        <w:numPr>
          <w:ilvl w:val="0"/>
          <w:numId w:val="1"/>
        </w:numPr>
        <w:bidi w:val="false"/>
        <w:spacing w:before="120" w:after="120"/>
      </w:pPr>
      <w:r>
        <w:rPr>
          <w:b/>
          <w:bCs/>
          <w:i w:val="false"/>
          <w:iCs w:val="false"/>
          <w:color w:val="000000"/>
          <w:sz w:val="24"/>
          <w:szCs w:val="24"/>
          <w:rtl w:val="false"/>
        </w:rPr>
        <w:t xml:space="preserve">Vendor Risk Assessment Template (TPRA)</w:t>
      </w:r>
    </w:p>
    <w:p>
      <w:pPr>
        <w:pStyle w:val="ListParagraph"/>
        <w:numPr>
          <w:ilvl w:val="0"/>
          <w:numId w:val="1"/>
        </w:numPr>
        <w:bidi w:val="false"/>
        <w:spacing w:before="120" w:after="120"/>
      </w:pPr>
      <w:r>
        <w:rPr>
          <w:b/>
          <w:bCs/>
          <w:i w:val="false"/>
          <w:iCs w:val="false"/>
          <w:color w:val="000000"/>
          <w:sz w:val="24"/>
          <w:szCs w:val="24"/>
          <w:rtl w:val="false"/>
        </w:rPr>
        <w:t xml:space="preserve">Certificate of Data Destruction Procedure</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2026-03-13T11:47:35.564Z</dcterms:created>
  <dcterms:modified xsi:type="dcterms:W3CDTF">2026-03-13T11:47:35.564Z</dcterms:modified>
</cp:coreProperties>
</file>

<file path=docProps/custom.xml><?xml version="1.0" encoding="utf-8"?>
<Properties xmlns="http://schemas.openxmlformats.org/officeDocument/2006/custom-properties" xmlns:vt="http://schemas.openxmlformats.org/officeDocument/2006/docPropsVTypes"/>
</file>