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AIGenAI_Algorithm_Design_1778682628771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AI/GenAI Algorithm Design Document &amp; Data Flow Diagram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Document ID: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CRA-6.1.1-ADDD-001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Last Updated: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 — Artur Ventura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 — Kwame Ferreira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Classification: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Internal – Confidential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CRA Control: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 6.1.1</w:t>
      </w:r>
    </w:p>
    <w:p>
      <w:pPr>
        <w:pStyle w:val="2"/>
        <w:pStyle w:val="Heading2"/>
        <w:bidi w:val="false"/>
        <w:spacing w:before="240" w:after="120"/>
      </w:pPr>
      <w:bookmarkStart w:name="_Toc__1_Purpose_177868262877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document describes the algorithm design, system architecture, and data flow of Synthetic Users' AI/GenAI platform. It explains how prompts are constructed, how AI-generated responses are processed, how the system distinguishes between user-provided data and AI-generated content, and how customer and JPMC data is protected throughout the AI inference pipeline.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document is produced in response to JPMC Security Controls Assessment (SCA) control CRA 6.1.1.</w:t>
      </w:r>
    </w:p>
    <w:p>
      <w:pPr>
        <w:pStyle w:val="2"/>
        <w:pStyle w:val="Heading2"/>
        <w:bidi w:val="false"/>
        <w:spacing w:before="240" w:after="120"/>
      </w:pPr>
      <w:bookmarkStart w:name="_Toc__2_System_Architecture_Overview_177868262877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System Architecture Overview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Synthetic Users platform is built on a four-layer architecture: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Layer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Components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Purpose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Web application (Next.js), REST/GraphQL API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Customer-facing interface; study configuration and output delivery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Shuffle, Persona Engine, Research Agents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 feature coordination, model routing, persona construction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Third-party LLM APIs (OpenAI, Anthropic, Google Gemini, Mistral)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Language model inference; response generation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PostgreSQL (Render), AWS S3, Vector Store (RAG index)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Persistent storage; document retrieval; session data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AI model weights are hosted by Synthetic Users. All LLM inference is performed via API calls to third-party providers.</w:t>
      </w:r>
    </w:p>
    <w:p>
      <w:pPr>
        <w:pStyle w:val="2"/>
        <w:pStyle w:val="Heading2"/>
        <w:bidi w:val="false"/>
        <w:spacing w:before="240" w:after="120"/>
      </w:pPr>
      <w:bookmarkStart w:name="_Toc__3_Core_AI_Components_177868262877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Core AI Components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31_LLM_Shuffle_MultiProvider_Orchestrat_177868262877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3.1 LLM Shuffle — Multi-Provider Orchestration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LLM Shuffle is Synthetic Users' proprietary model routing layer. Rather than relying on a single language model, LLM Shuffle distributes inference requests across multiple frontier LLM providers. This architecture provides: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Bias reduction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different models exhibit different biases; using multiple models reduces systematic skew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Output diversity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varied model responses produce richer synthetic participant sets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Resilience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automatic failover if a provider is unavailable or rate-limited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Vendor independence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no lock-in to a single AI provider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Model selection for each inference call is determined by study configuration, participant persona type, and real-time provider availability.</w:t>
      </w:r>
    </w:p>
    <w:p>
      <w:pPr>
        <w:pStyle w:val="3"/>
        <w:pStyle w:val="Heading3"/>
        <w:bidi w:val="false"/>
        <w:spacing w:before="240" w:after="120"/>
      </w:pPr>
      <w:bookmarkStart w:name="_Toc__32_Persona_Engine_OCEAN_Personality_Arc_177868262877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3.2 Persona Engine — OCEAN Personality Architecture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Persona Engine constructs psychologically grounded synthetic participant profiles using the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OCEAN model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(Openness, Conscientiousness, Extraversion, Agreeableness, Neuroticism) — the leading empirically validated framework in personality psychology.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Each synthetic participant is assigned: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OCEAN trait scores (derived from demographic and psychographic inputs)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Role, background, and professional context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Behavioral anchors specific to the study domain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Consistent response tendencies that persist across a full simulated interview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Persona definitions are injected into the LLM system prompt as structured context, ensuring consistent character fidelity throughout the session.</w:t>
      </w:r>
    </w:p>
    <w:p>
      <w:pPr>
        <w:pStyle w:val="3"/>
        <w:pStyle w:val="Heading3"/>
        <w:bidi w:val="false"/>
        <w:spacing w:before="240" w:after="120"/>
      </w:pPr>
      <w:bookmarkStart w:name="_Toc__33_RAG_Pipeline_RetrievalAugmented_Gene_177868262877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3.3 RAG Pipeline — Retrieval-Augmented Generation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studies requiring grounding in specific domain knowledge or customer-provided context, the platform uses a Retrieval-Augmented Generation (RAG) pipeline: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Ingestion: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Customer-provided documents are ingested, chunked, and embedded into a tenant-scoped vector index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Retrieval: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At inference time, semantically relevant chunks are retrieved and injected into the prompt context window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Isolation: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Each tenant's vector index is strictly isolated — no cross-tenant retrieval is possible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 persistence of JPMC data: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JPMC-specific context is provided in the prompt context window only and is not persisted to the shared RAG index</w:t>
      </w:r>
    </w:p>
    <w:p>
      <w:pPr>
        <w:pStyle w:val="3"/>
        <w:pStyle w:val="Heading3"/>
        <w:bidi w:val="false"/>
        <w:spacing w:before="240" w:after="120"/>
      </w:pPr>
      <w:bookmarkStart w:name="_Toc__34_Research_Agents_177868262877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3.4 Research Agents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Research Agents are AI-assisted workflow components that help customers design effective studies. They assist with question formulation, audience definition, and study structure — but all final decisions remain with the human researcher. Agent outputs are clearly labelled as AI suggestions.</w:t>
      </w:r>
    </w:p>
    <w:p>
      <w:pPr>
        <w:pStyle w:val="2"/>
        <w:pStyle w:val="Heading2"/>
        <w:bidi w:val="false"/>
        <w:spacing w:before="240" w:after="120"/>
      </w:pPr>
      <w:bookmarkStart w:name="_Toc__4_Prompt_Construction_177868262877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Prompt Construction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Prompt construction follows a deterministic, layered structure:</w:t>
      </w:r>
    </w:p>
    <w:p>
      <w:pPr>
        <w:pBdr>
          <w:top w:val="single" w:color="DDDDDD" w:sz="1"/>
          <w:bottom w:val="single" w:color="DDDDDD" w:sz="1"/>
          <w:left w:val="single" w:color="DDDDDD" w:sz="1"/>
          <w:right w:val="single" w:color="DDDDDD" w:sz="1"/>
        </w:pBdr>
        <w:shd w:fill="F5F5F5"/>
        <w:spacing w:before="240" w:after="240" w:line="360" w:lineRule="exact"/>
        <w:ind w:left="360"/>
      </w:pP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[System Prompt]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└─ Platform instructions (role, safety constraints, output format)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└─ Persona definition (OCEAN profile, background, behavioral anchors)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└─ Study-specific instructions (domain, interview type, question set)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/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[Context Window]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└─ RAG-retrieved chunks (if applicable, scoped to tenant)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└─ Conversation history (current session only)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/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[User Turn]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└─ Current interview question (researcher-authored)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Key safeguards in prompt construction: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System prompt contents are never exposed in model outputs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User-supplied text is injected as data, not as system instructions, to mitigate prompt injection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Maximum token limits are enforced per prompt component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JPMC data is included in system prompts shared across tenants</w:t>
      </w:r>
    </w:p>
    <w:p>
      <w:pPr>
        <w:pStyle w:val="2"/>
        <w:pStyle w:val="Heading2"/>
        <w:bidi w:val="false"/>
        <w:spacing w:before="240" w:after="120"/>
      </w:pPr>
      <w:bookmarkStart w:name="_Toc__5_AI_Data_Flow_177868262877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AI Data Flow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51_Data_Flow_Standard_Inference_Request_177868262877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5.1 Data Flow — Standard Inference Request</w:t>
      </w:r>
      <w:bookmarkEnd w:id="1"/>
    </w:p>
    <w:p>
      <w:pPr>
        <w:pBdr>
          <w:top w:val="single" w:color="DDDDDD" w:sz="1"/>
          <w:bottom w:val="single" w:color="DDDDDD" w:sz="1"/>
          <w:left w:val="single" w:color="DDDDDD" w:sz="1"/>
          <w:right w:val="single" w:color="DDDDDD" w:sz="1"/>
        </w:pBdr>
        <w:shd w:fill="F5F5F5"/>
        <w:spacing w:before="240" w:after="240" w:line="360" w:lineRule="exact"/>
        <w:ind w:left="360"/>
      </w:pP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Customer (browser)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REST API (authenticated, TLS 1.2+)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Orchestration Layer (LLM Shuffle + Persona Engine)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Prompt Constructor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LLM Provider API (TLS 1.2+, no data retained by provider per DPA)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Response Post-Processor (output sanitisation, format validation)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API Response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Customer (browser)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intermediate storage of prompt or response content occurs outside of the active session. Session data is stored in the customer's tenant-scoped database partition.</w:t>
      </w:r>
    </w:p>
    <w:p>
      <w:pPr>
        <w:pStyle w:val="3"/>
        <w:pStyle w:val="Heading3"/>
        <w:bidi w:val="false"/>
        <w:spacing w:before="240" w:after="120"/>
      </w:pPr>
      <w:bookmarkStart w:name="_Toc__52_Data_Flow_RAGEnabled_Request_177868262877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5.2 Data Flow — RAG-Enabled Request</w:t>
      </w:r>
      <w:bookmarkEnd w:id="1"/>
    </w:p>
    <w:p>
      <w:pPr>
        <w:pBdr>
          <w:top w:val="single" w:color="DDDDDD" w:sz="1"/>
          <w:bottom w:val="single" w:color="DDDDDD" w:sz="1"/>
          <w:left w:val="single" w:color="DDDDDD" w:sz="1"/>
          <w:right w:val="single" w:color="DDDDDD" w:sz="1"/>
        </w:pBdr>
        <w:shd w:fill="F5F5F5"/>
        <w:spacing w:before="240" w:after="240" w:line="360" w:lineRule="exact"/>
        <w:ind w:left="360"/>
      </w:pP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Customer document upload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Document Ingestion Worker (sandboxed)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Chunking + Embedding (provider API call)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Tenant-Scoped Vector Index (isolated per customer)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/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At inference time: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Query Embedding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Tenant Vector Index Retrieval (scoped, no cross-tenant access)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Retrieved chunks injected into prompt context window</w:t>
      </w:r>
      <w:r>
        <w:rPr>
          <w:rFonts w:ascii="Courier New" w:cs="Courier New" w:eastAsia="Courier New" w:hAnsi="Courier New"/>
          <w:sz w:val="20"/>
          <w:szCs w:val="20"/>
          <w:rtl w:val="false"/>
        </w:rPr>
        <w:br/>
        <w:t xml:space="preserve">
</w:t>
      </w:r>
      <w:r>
        <w:rPr>
          <w:rFonts w:ascii="Courier New" w:cs="Courier New" w:eastAsia="Courier New" w:hAnsi="Courier New"/>
          <w:color w:val="444444"/>
          <w:sz w:val="20"/>
          <w:szCs w:val="20"/>
          <w:rtl w:val="false"/>
        </w:rPr>
        <w:t xml:space="preserve">    → Standard Inference Flow (as above)</w:t>
      </w:r>
    </w:p>
    <w:p>
      <w:pPr>
        <w:pStyle w:val="3"/>
        <w:pStyle w:val="Heading3"/>
        <w:bidi w:val="false"/>
        <w:spacing w:before="240" w:after="120"/>
      </w:pPr>
      <w:bookmarkStart w:name="_Toc__53_What_Is_and_Is_Not_Sent_to_LLM_Provi_177868262877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5.3 What Is and Is Not Sent to LLM Providers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Data Category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Sent to LLM Provider?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Notes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Persona definition (OCEAN parameters, role)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Yes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Injected as system prompt context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Study questions (researcher-authored)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Yes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Part of user turn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RAG-retrieved document chunks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Yes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Injected as context window content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PII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Never included in prompts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JPMC data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Only if explicitly scoped to JPMC study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Covered by provider DPA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Platform API keys or credentials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Never included in prompts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Other tenants' data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Strict tenant isolation enforced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6_AIGenerated_vs_UserProvided_Data_Dist_1778682628777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6. AI-Generated vs. User-Provided Data — Distinction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platform maintains a clear architectural separation between user-provided data and AI-generated content: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Data Type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Source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Storage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Labelling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Study configuration (questions, audience)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Human researcher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database partition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Stored as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Persona parameters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Human researcher + system defaults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database partition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Stored as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AI-generated interview responses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inference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database partition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Stored as , flagged in UI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Research reports and knowledge graphs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 synthesis of AI responses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database partition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Prominently labelled "AI-Generated Synthesis"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Customer-uploaded documents (RAG)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Human / customer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Tenant vector index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Stored as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AI-generated outputs presented in the user interface are visually labelled as AI-generated content. The platform does not present synthetic outputs as human responses.</w:t>
      </w:r>
    </w:p>
    <w:p>
      <w:pPr>
        <w:pStyle w:val="2"/>
        <w:pStyle w:val="Heading2"/>
        <w:bidi w:val="false"/>
        <w:spacing w:before="240" w:after="120"/>
      </w:pPr>
      <w:bookmarkStart w:name="_Toc__7_LLM_Selection_Logic_1778682628777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7. LLM Selection Logic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Model selection within LLM Shuffle is governed by the following priority order: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Study-level override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if the researcher has selected a specific model for the study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Persona-type routing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certain persona types perform better with specific model families (configured internally)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Provider availability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real-time health check; unavailable providers are skipped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Load balancing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requests are distributed across available providers to avoid rate limit saturation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Fallback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if all preferred providers are unavailable, a designated fallback provider is used</w:t>
      </w:r>
    </w:p>
    <w:p>
      <w:pPr>
        <w:pStyle w:val="2"/>
        <w:pStyle w:val="Heading2"/>
        <w:bidi w:val="false"/>
        <w:spacing w:before="240" w:after="120"/>
      </w:pPr>
      <w:bookmarkStart w:name="_Toc__8_Output_Safeguards_1778682628777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8. Output Safeguards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LLM responses pass through a post-processing layer before being returned to the customer: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Format validation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response structure is validated against expected schema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Content filtering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responses are screened for content policy violations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PII scanning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outputs are scanned for unexpected PII patterns (e.g., real names, contact details)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Injection detection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outputs are checked for patterns indicating prompt injection success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Length enforcement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responses outside expected length bounds are flagged for review</w:t>
      </w:r>
    </w:p>
    <w:p>
      <w:pPr>
        <w:pStyle w:val="2"/>
        <w:pStyle w:val="Heading2"/>
        <w:bidi w:val="false"/>
        <w:spacing w:before="240" w:after="120"/>
      </w:pPr>
      <w:bookmarkStart w:name="_Toc__9_AIGenAI_Data_Protection_Subprocessors_177868262877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9. AI/GenAI Data Protection &amp; Subprocessors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LLM providers used by Synthetic Users are engaged under Data Processing Agreements (DPAs) that prohibit: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Training or fine-tuning on API request data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Retention of API request and response content beyond the request lifecycle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Secondary use of customer data for any purpose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the full list of AI/GenAI subprocessors, see </w:t>
      </w:r>
      <w:hyperlink w:history="1" r:id="rId-6jojgepswqfe6btx_tf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Subprocessors &amp; Data Flow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2"/>
        <w:pStyle w:val="Heading2"/>
        <w:bidi w:val="false"/>
        <w:spacing w:before="240" w:after="120"/>
      </w:pPr>
      <w:bookmarkStart w:name="_Toc__10_GenAI_Lifecycle_177868262877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10. GenAI Lifecycle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Lifecycle Stage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Synthetic Users Practice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Model selection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Security review + DPA validation before production enablement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Integration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SAST + code review; no hardcoded credentials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Testing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Adversarial prompt testing; data isolation testing; output safety review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Production monitoring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Output anomaly detection; latency/error rate monitoring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Model updates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Lightweight re-validation; CTO sign-off for default model switch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Retirement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Migration testing; provider data deletion confirmation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full AI/GenAI lifecycle requirements, see the </w:t>
      </w:r>
      <w:hyperlink w:history="1" r:id="rIdtfce4i99a2op-od6zwhs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SDLC AI/GenAI Addendum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2"/>
        <w:pStyle w:val="Heading2"/>
        <w:bidi w:val="false"/>
        <w:spacing w:before="240" w:after="120"/>
      </w:pPr>
      <w:bookmarkStart w:name="_Toc__11_Related_Documents_177868262877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11. Related Documents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afh5shknvd8ljh6yicb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SDLC AI/GenAI Addendum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b9vg42lyxf6euocgiwe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Responsible AI &amp; Risk Management Overview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0e6ejsjaex9anmoyryn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AI Safety &amp; Bias Mitigation Controls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w2hvdzq3c8k461miptf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Subprocessors &amp; Data Flow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kut7ijn2wujvzsacdfd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Third-Party Risk Management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7bviftpdldxkzly9mpw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Information Governance &amp; Records Management Standard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Synthetic Users, Inc. — 3201 Coolidge Ave, Los Angeles, CA 90066, USA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-6jojgepswqfe6btx_tfo" Type="http://schemas.openxmlformats.org/officeDocument/2006/relationships/hyperlink" Target="/data-management/subprocessors-data-flow" TargetMode="External"/><Relationship Id="rIdtfce4i99a2op-od6zwhsp" Type="http://schemas.openxmlformats.org/officeDocument/2006/relationships/hyperlink" Target="/development/sdlc-ai-genai-addendum" TargetMode="External"/><Relationship Id="rIdmafh5shknvd8ljh6yicbe" Type="http://schemas.openxmlformats.org/officeDocument/2006/relationships/hyperlink" Target="/development/sdlc-ai-genai-addendum" TargetMode="External"/><Relationship Id="rIdib9vg42lyxf6euocgiwei" Type="http://schemas.openxmlformats.org/officeDocument/2006/relationships/hyperlink" Target="/ai/responsible-ai" TargetMode="External"/><Relationship Id="rIdn0e6ejsjaex9anmoyrynz" Type="http://schemas.openxmlformats.org/officeDocument/2006/relationships/hyperlink" Target="/ai/safety-bias-controls" TargetMode="External"/><Relationship Id="rIdmw2hvdzq3c8k461miptfo" Type="http://schemas.openxmlformats.org/officeDocument/2006/relationships/hyperlink" Target="/data-management/subprocessors-data-flow" TargetMode="External"/><Relationship Id="rIdokut7ijn2wujvzsacdfd0" Type="http://schemas.openxmlformats.org/officeDocument/2006/relationships/hyperlink" Target="/risk-management/third-party-risk-management" TargetMode="External"/><Relationship Id="rIdc7bviftpdldxkzly9mpwa" Type="http://schemas.openxmlformats.org/officeDocument/2006/relationships/hyperlink" Target="/data-management/information-governance-records-management" TargetMode="External"/><Relationship Id="rId15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2026-05-13T14:30:28.782Z</dcterms:created>
  <dcterms:modified xsi:type="dcterms:W3CDTF">2026-05-13T14:30:28.782Z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